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00" w:rsidRDefault="00A50A00" w:rsidP="00C64E20">
      <w:pPr>
        <w:spacing w:after="161" w:line="259" w:lineRule="auto"/>
        <w:ind w:right="144"/>
        <w:jc w:val="center"/>
      </w:pPr>
      <w:r>
        <w:t xml:space="preserve">                                                                             Приложение № </w:t>
      </w:r>
    </w:p>
    <w:p w:rsidR="00574D10" w:rsidRDefault="00A50A00" w:rsidP="00C64E20">
      <w:pPr>
        <w:spacing w:after="161" w:line="259" w:lineRule="auto"/>
        <w:ind w:right="144"/>
        <w:jc w:val="center"/>
      </w:pPr>
      <w:r>
        <w:t xml:space="preserve">                                                                                  К приказу №__ от «___»</w:t>
      </w:r>
      <w:r w:rsidR="00574D10">
        <w:t>_______ 20</w:t>
      </w:r>
      <w:r w:rsidR="00574D10" w:rsidRPr="00574D10">
        <w:rPr>
          <w:u w:val="single"/>
        </w:rPr>
        <w:t>23</w:t>
      </w:r>
      <w:r w:rsidR="00574D10">
        <w:rPr>
          <w:u w:val="single"/>
        </w:rPr>
        <w:t>г</w:t>
      </w:r>
    </w:p>
    <w:p w:rsidR="00A50A00" w:rsidRDefault="00574D10" w:rsidP="00C64E20">
      <w:pPr>
        <w:spacing w:after="161" w:line="259" w:lineRule="auto"/>
        <w:ind w:right="144"/>
        <w:jc w:val="center"/>
      </w:pPr>
      <w:r>
        <w:t xml:space="preserve">                                                                            </w:t>
      </w:r>
      <w:r w:rsidR="00A50A00">
        <w:t>М</w:t>
      </w:r>
      <w:r>
        <w:t xml:space="preserve">КДОУ «Детский сад с. </w:t>
      </w:r>
      <w:proofErr w:type="spellStart"/>
      <w:r w:rsidR="00D57102">
        <w:t>Герга</w:t>
      </w:r>
      <w:proofErr w:type="spellEnd"/>
      <w:r w:rsidR="00D57102">
        <w:t xml:space="preserve"> </w:t>
      </w:r>
      <w:r>
        <w:t>»</w:t>
      </w:r>
      <w:r w:rsidR="00A50A00">
        <w:t xml:space="preserve"> </w:t>
      </w:r>
    </w:p>
    <w:p w:rsidR="00574D10" w:rsidRDefault="00574D10" w:rsidP="00C64E20">
      <w:pPr>
        <w:spacing w:after="161" w:line="259" w:lineRule="auto"/>
        <w:ind w:right="144"/>
        <w:jc w:val="center"/>
        <w:rPr>
          <w:b/>
          <w:sz w:val="28"/>
        </w:rPr>
      </w:pPr>
    </w:p>
    <w:p w:rsidR="00C64E20" w:rsidRPr="00C13EE4" w:rsidRDefault="00C64E20" w:rsidP="00C64E20">
      <w:pPr>
        <w:spacing w:after="161" w:line="259" w:lineRule="auto"/>
        <w:ind w:right="144"/>
        <w:jc w:val="center"/>
        <w:rPr>
          <w:sz w:val="28"/>
        </w:rPr>
      </w:pPr>
      <w:r w:rsidRPr="00C13EE4">
        <w:rPr>
          <w:b/>
          <w:sz w:val="28"/>
        </w:rPr>
        <w:t xml:space="preserve">ПОЛОЖЕНИЕ  </w:t>
      </w:r>
    </w:p>
    <w:p w:rsidR="00C64E20" w:rsidRPr="00C13EE4" w:rsidRDefault="00C64E20" w:rsidP="00C64E20">
      <w:pPr>
        <w:spacing w:after="161" w:line="259" w:lineRule="auto"/>
        <w:ind w:right="143"/>
        <w:jc w:val="center"/>
        <w:rPr>
          <w:sz w:val="28"/>
        </w:rPr>
      </w:pPr>
      <w:r>
        <w:rPr>
          <w:b/>
          <w:sz w:val="28"/>
        </w:rPr>
        <w:t>о</w:t>
      </w:r>
      <w:r w:rsidRPr="00C13EE4">
        <w:rPr>
          <w:b/>
          <w:sz w:val="28"/>
        </w:rPr>
        <w:t xml:space="preserve">б оценке  коррупционных рисков </w:t>
      </w:r>
    </w:p>
    <w:p w:rsidR="00C64E20" w:rsidRPr="00C13EE4" w:rsidRDefault="00C64E20" w:rsidP="00C64E20">
      <w:pPr>
        <w:spacing w:after="108" w:line="259" w:lineRule="auto"/>
        <w:ind w:right="145"/>
        <w:jc w:val="center"/>
        <w:rPr>
          <w:sz w:val="28"/>
        </w:rPr>
      </w:pPr>
      <w:r>
        <w:rPr>
          <w:b/>
          <w:sz w:val="28"/>
        </w:rPr>
        <w:t xml:space="preserve">в МКДОУ «Детский сад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D57102">
        <w:rPr>
          <w:b/>
          <w:sz w:val="28"/>
        </w:rPr>
        <w:t>Г</w:t>
      </w:r>
      <w:proofErr w:type="gramEnd"/>
      <w:r w:rsidR="00D57102">
        <w:rPr>
          <w:b/>
          <w:sz w:val="28"/>
        </w:rPr>
        <w:t>ерга</w:t>
      </w:r>
      <w:proofErr w:type="spellEnd"/>
      <w:r w:rsidR="00D57102">
        <w:rPr>
          <w:b/>
          <w:sz w:val="28"/>
        </w:rPr>
        <w:t xml:space="preserve"> </w:t>
      </w:r>
      <w:r w:rsidRPr="00C13EE4">
        <w:rPr>
          <w:b/>
          <w:sz w:val="28"/>
        </w:rPr>
        <w:t>»</w:t>
      </w:r>
    </w:p>
    <w:p w:rsidR="00C64E20" w:rsidRDefault="00C64E20" w:rsidP="00C64E20">
      <w:pPr>
        <w:spacing w:after="159" w:line="259" w:lineRule="auto"/>
        <w:ind w:left="0" w:right="84" w:firstLine="0"/>
        <w:jc w:val="center"/>
      </w:pPr>
      <w:r>
        <w:t xml:space="preserve"> </w:t>
      </w:r>
    </w:p>
    <w:p w:rsidR="00C64E20" w:rsidRPr="00C64E20" w:rsidRDefault="00C64E20" w:rsidP="00C64E20">
      <w:pPr>
        <w:pStyle w:val="1"/>
        <w:ind w:left="565" w:right="0" w:hanging="348"/>
        <w:rPr>
          <w:b/>
        </w:rPr>
      </w:pPr>
      <w:r>
        <w:rPr>
          <w:b/>
        </w:rPr>
        <w:t>Общие положения.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1</w:t>
      </w:r>
      <w:r w:rsidRPr="00A50A00">
        <w:rPr>
          <w:sz w:val="28"/>
          <w:szCs w:val="28"/>
        </w:rPr>
        <w:t>.1</w:t>
      </w:r>
      <w:r w:rsidRPr="00A50A00">
        <w:rPr>
          <w:szCs w:val="24"/>
        </w:rPr>
        <w:t xml:space="preserve">. Оценка коррупционных рисков является важнейшим элементом </w:t>
      </w:r>
      <w:proofErr w:type="spellStart"/>
      <w:r w:rsidRPr="00A50A00">
        <w:rPr>
          <w:szCs w:val="24"/>
        </w:rPr>
        <w:t>антикоррупционной</w:t>
      </w:r>
      <w:proofErr w:type="spellEnd"/>
      <w:r w:rsidRPr="00A50A00">
        <w:rPr>
          <w:szCs w:val="24"/>
        </w:rPr>
        <w:t xml:space="preserve"> политики муниципального казенного дошкольного образовательного учреждения «Детский сад </w:t>
      </w:r>
      <w:proofErr w:type="spellStart"/>
      <w:r w:rsidRPr="00A50A00">
        <w:rPr>
          <w:szCs w:val="24"/>
        </w:rPr>
        <w:t>с</w:t>
      </w:r>
      <w:proofErr w:type="gramStart"/>
      <w:r w:rsidRPr="00A50A00">
        <w:rPr>
          <w:szCs w:val="24"/>
        </w:rPr>
        <w:t>.</w:t>
      </w:r>
      <w:r w:rsidR="00D57102">
        <w:rPr>
          <w:szCs w:val="24"/>
        </w:rPr>
        <w:t>Г</w:t>
      </w:r>
      <w:proofErr w:type="gramEnd"/>
      <w:r w:rsidR="00D57102">
        <w:rPr>
          <w:szCs w:val="24"/>
        </w:rPr>
        <w:t>ерга</w:t>
      </w:r>
      <w:proofErr w:type="spellEnd"/>
      <w:r w:rsidRPr="00A50A00">
        <w:rPr>
          <w:szCs w:val="24"/>
        </w:rPr>
        <w:t xml:space="preserve">» (далее - Учреждение), позволяющая обеспечить соответствие реализуемых </w:t>
      </w:r>
      <w:proofErr w:type="spellStart"/>
      <w:r w:rsidRPr="00A50A00">
        <w:rPr>
          <w:szCs w:val="24"/>
        </w:rPr>
        <w:t>антикоррупционных</w:t>
      </w:r>
      <w:proofErr w:type="spellEnd"/>
      <w:r w:rsidRPr="00A50A00">
        <w:rPr>
          <w:szCs w:val="24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Положения об Учреждении и других локальных актов Учреждения.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                                     2</w:t>
      </w:r>
      <w:r w:rsidRPr="00A50A00">
        <w:rPr>
          <w:b/>
          <w:szCs w:val="24"/>
        </w:rPr>
        <w:t>. Порядок оценки коррупционных рисков</w:t>
      </w:r>
      <w:r w:rsidRPr="00A50A00">
        <w:rPr>
          <w:szCs w:val="24"/>
        </w:rPr>
        <w:t xml:space="preserve">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2.1. Оценка коррупционных рисков в деятельности Учреждения проводится как на стадии разработки </w:t>
      </w:r>
      <w:proofErr w:type="spellStart"/>
      <w:r w:rsidRPr="00A50A00">
        <w:rPr>
          <w:szCs w:val="24"/>
        </w:rPr>
        <w:t>антикоррупционной</w:t>
      </w:r>
      <w:proofErr w:type="spellEnd"/>
      <w:r w:rsidRPr="00A50A00">
        <w:rPr>
          <w:szCs w:val="24"/>
        </w:rPr>
        <w:t xml:space="preserve"> политики, так и после её утверждения на регулярной основе ежегодно до 1 марта. 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2.2. Оценку коррупционных рисков в деятельности Учреждения осуществляет должностное лицо, ответственное за профилактику коррупционных правонарушений. 2.3. Этапы проведения оценки коррупционных рисков: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lastRenderedPageBreak/>
        <w:t xml:space="preserve"> 1. Провести анализ деятельности Учреждения, выделив: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- отдельные процессы;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составные элементы процессов (под</w:t>
      </w:r>
      <w:r w:rsidR="00D57102">
        <w:rPr>
          <w:szCs w:val="24"/>
        </w:rPr>
        <w:t xml:space="preserve"> </w:t>
      </w:r>
      <w:r w:rsidRPr="00A50A00">
        <w:rPr>
          <w:szCs w:val="24"/>
        </w:rPr>
        <w:t xml:space="preserve">процессы).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2. Выделить «критические точки» (элементы (под</w:t>
      </w:r>
      <w:r w:rsidR="00D57102">
        <w:rPr>
          <w:szCs w:val="24"/>
        </w:rPr>
        <w:t xml:space="preserve"> </w:t>
      </w:r>
      <w:r w:rsidRPr="00A50A00">
        <w:rPr>
          <w:szCs w:val="24"/>
        </w:rPr>
        <w:t xml:space="preserve">процессы), при реализации которых наиболее вероятно возникновение коррупционных правонарушений).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3. Составить для под</w:t>
      </w:r>
      <w:r w:rsidR="00D57102">
        <w:rPr>
          <w:szCs w:val="24"/>
        </w:rPr>
        <w:t xml:space="preserve"> </w:t>
      </w:r>
      <w:r w:rsidRPr="00A50A00">
        <w:rPr>
          <w:szCs w:val="24"/>
        </w:rPr>
        <w:t>процессов</w:t>
      </w:r>
      <w:r w:rsidR="00574D10">
        <w:rPr>
          <w:szCs w:val="24"/>
        </w:rPr>
        <w:t xml:space="preserve">  </w:t>
      </w:r>
      <w:bookmarkStart w:id="0" w:name="_GoBack"/>
      <w:bookmarkEnd w:id="0"/>
      <w:r w:rsidRPr="00A50A00">
        <w:rPr>
          <w:szCs w:val="24"/>
        </w:rPr>
        <w:t>, реализация которых связана с коррупционным риском, описание возможных коррупционных правонарушений, включающее: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A50A00">
        <w:rPr>
          <w:szCs w:val="24"/>
        </w:rPr>
        <w:t>коррупциогенные</w:t>
      </w:r>
      <w:proofErr w:type="spellEnd"/>
      <w:r w:rsidRPr="00A50A00">
        <w:rPr>
          <w:szCs w:val="24"/>
        </w:rPr>
        <w:t xml:space="preserve"> должности);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возможные формы осуществления коррупционных платежей (денежное вознаграждение, услуги, преимущества и т.д.).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4. Разработать на основании проведенного анализа карту коррупционных рисков Учреждения (сводное описание «критических точек» и возможных коррупционных правонарушений).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5. 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</w:t>
      </w:r>
      <w:proofErr w:type="spellStart"/>
      <w:r w:rsidRPr="00A50A00">
        <w:rPr>
          <w:szCs w:val="24"/>
        </w:rPr>
        <w:t>антикоррупционные</w:t>
      </w:r>
      <w:proofErr w:type="spellEnd"/>
      <w:r w:rsidRPr="00A50A00">
        <w:rPr>
          <w:szCs w:val="24"/>
        </w:rPr>
        <w:t xml:space="preserve"> процедуры и требования (например, представление сведений о доходах, имуществе и обязательствах имущественного характера).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6. Разработать комплекс мер по устранению или минимизации коррупционных рисков. Такие меры разрабатываются для каждой «критической точки». </w:t>
      </w:r>
      <w:proofErr w:type="gramStart"/>
      <w:r w:rsidRPr="00A50A00">
        <w:rPr>
          <w:szCs w:val="24"/>
        </w:rPr>
        <w:t>В зависимости от специфики конкретного процесса такие меры включают: - проведение обучающих мероприятий для работников Учреждения по вопросам противодействия коррупции; - согласование с органом исполнительной государственной власти (органом местного</w:t>
      </w:r>
      <w:proofErr w:type="gramEnd"/>
      <w:r w:rsidRPr="00A50A00">
        <w:rPr>
          <w:szCs w:val="24"/>
        </w:rPr>
        <w:t xml:space="preserve"> самоуправления), осуществляющим функции учредителя, решений по отдельным вопросам перед их принятием; - создание форм отчетности по результатам принятых решений (например, ежегодный отчет о деятельности, о реализации программы и т.д.);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- внедрение систем электронного взаимодействия с гражданами и организациями;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осуществление внутреннего </w:t>
      </w:r>
      <w:proofErr w:type="gramStart"/>
      <w:r w:rsidRPr="00A50A00">
        <w:rPr>
          <w:szCs w:val="24"/>
        </w:rPr>
        <w:t>контроля за</w:t>
      </w:r>
      <w:proofErr w:type="gramEnd"/>
      <w:r w:rsidRPr="00A50A00">
        <w:rPr>
          <w:szCs w:val="24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lastRenderedPageBreak/>
        <w:t xml:space="preserve"> - регламентация сроков и порядка реализации </w:t>
      </w:r>
      <w:proofErr w:type="spellStart"/>
      <w:r w:rsidRPr="00A50A00">
        <w:rPr>
          <w:szCs w:val="24"/>
        </w:rPr>
        <w:t>подпроцессов</w:t>
      </w:r>
      <w:proofErr w:type="spellEnd"/>
      <w:r w:rsidRPr="00A50A00">
        <w:rPr>
          <w:szCs w:val="24"/>
        </w:rPr>
        <w:t xml:space="preserve"> с повышенным уровнем коррупционной уязвимости;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использование видео- и звукозаписывающих устройств в местах приема граждан и представителей организаций и иные меры.</w:t>
      </w:r>
    </w:p>
    <w:p w:rsidR="00C64E20" w:rsidRPr="00A50A00" w:rsidRDefault="00C64E20">
      <w:pPr>
        <w:rPr>
          <w:b/>
          <w:szCs w:val="24"/>
        </w:rPr>
      </w:pPr>
      <w:r w:rsidRPr="00A50A00">
        <w:rPr>
          <w:szCs w:val="24"/>
        </w:rPr>
        <w:t xml:space="preserve">                                 3</w:t>
      </w:r>
      <w:r w:rsidRPr="00A50A00">
        <w:rPr>
          <w:b/>
          <w:szCs w:val="24"/>
        </w:rPr>
        <w:t xml:space="preserve">. Карта коррупционных рисков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3.1. Карта коррупционных рисков (далее – Карта) содержит: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- 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- 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меры по устранению или минимизации коррупционно-опасных функций.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3.2. Карта разрабатывается должностным лицом, ответственным за профилактику коррупционных правонарушений в Учреждении, в соответствии с формой, указанной в приложении к настоящему Положению, и утверждается руководителем Учреждения.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3.3. Изменению карта подлежит: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- по результатам ежегодного проведения оценки коррупционных рисков в Учреждении; 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>- 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</w:t>
      </w:r>
    </w:p>
    <w:p w:rsidR="00C64E20" w:rsidRPr="00A50A00" w:rsidRDefault="00C64E20">
      <w:pPr>
        <w:rPr>
          <w:szCs w:val="24"/>
        </w:rPr>
      </w:pPr>
      <w:r w:rsidRPr="00A50A00">
        <w:rPr>
          <w:szCs w:val="24"/>
        </w:rPr>
        <w:t xml:space="preserve"> - в случае выявления фактов коррупции в Учреждении.</w:t>
      </w:r>
    </w:p>
    <w:p w:rsidR="00A50A00" w:rsidRDefault="00A50A00">
      <w:pPr>
        <w:rPr>
          <w:sz w:val="28"/>
          <w:szCs w:val="28"/>
        </w:rPr>
      </w:pPr>
    </w:p>
    <w:p w:rsidR="00A50A00" w:rsidRPr="00A50A00" w:rsidRDefault="00A50A00">
      <w:pPr>
        <w:rPr>
          <w:sz w:val="26"/>
          <w:szCs w:val="26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Default="00A50A00">
      <w:pPr>
        <w:rPr>
          <w:sz w:val="28"/>
          <w:szCs w:val="28"/>
        </w:rPr>
      </w:pPr>
    </w:p>
    <w:p w:rsidR="00A50A00" w:rsidRPr="00A50A00" w:rsidRDefault="00A50A00">
      <w:pPr>
        <w:rPr>
          <w:sz w:val="28"/>
          <w:szCs w:val="28"/>
        </w:rPr>
      </w:pPr>
    </w:p>
    <w:p w:rsidR="00A50A00" w:rsidRDefault="00C64E20">
      <w:r>
        <w:t xml:space="preserve">                                    </w:t>
      </w:r>
      <w:r w:rsidR="00A50A00">
        <w:t xml:space="preserve">                                                                      </w:t>
      </w:r>
      <w:r>
        <w:t xml:space="preserve"> Приложение </w:t>
      </w:r>
    </w:p>
    <w:p w:rsidR="00C64E20" w:rsidRDefault="00A50A00">
      <w:r>
        <w:t xml:space="preserve">                                                                                                           </w:t>
      </w:r>
      <w:r w:rsidR="00C64E20">
        <w:t>к Положению</w:t>
      </w:r>
    </w:p>
    <w:p w:rsidR="00A50A00" w:rsidRDefault="00A50A00">
      <w:r>
        <w:t xml:space="preserve">                                   Карта коррупционных рисков</w:t>
      </w:r>
    </w:p>
    <w:tbl>
      <w:tblPr>
        <w:tblStyle w:val="a7"/>
        <w:tblW w:w="0" w:type="auto"/>
        <w:tblInd w:w="10" w:type="dxa"/>
        <w:tblLook w:val="04A0"/>
      </w:tblPr>
      <w:tblGrid>
        <w:gridCol w:w="520"/>
        <w:gridCol w:w="1382"/>
        <w:gridCol w:w="1619"/>
        <w:gridCol w:w="1772"/>
        <w:gridCol w:w="1612"/>
        <w:gridCol w:w="1287"/>
        <w:gridCol w:w="1369"/>
      </w:tblGrid>
      <w:tr w:rsidR="00A50A00" w:rsidTr="00A50A00">
        <w:trPr>
          <w:trHeight w:val="2364"/>
        </w:trPr>
        <w:tc>
          <w:tcPr>
            <w:tcW w:w="533" w:type="dxa"/>
            <w:vMerge w:val="restart"/>
          </w:tcPr>
          <w:p w:rsidR="00A50A00" w:rsidRDefault="00A50A00">
            <w:pPr>
              <w:ind w:left="0" w:firstLine="0"/>
            </w:pPr>
            <w:r>
              <w:t>№</w:t>
            </w:r>
          </w:p>
        </w:tc>
        <w:tc>
          <w:tcPr>
            <w:tcW w:w="1459" w:type="dxa"/>
            <w:vMerge w:val="restart"/>
          </w:tcPr>
          <w:p w:rsidR="00A50A00" w:rsidRDefault="00A50A00">
            <w:pPr>
              <w:ind w:left="0" w:firstLine="0"/>
            </w:pPr>
            <w:r>
              <w:t>Критическая точка</w:t>
            </w:r>
          </w:p>
        </w:tc>
        <w:tc>
          <w:tcPr>
            <w:tcW w:w="1600" w:type="dxa"/>
            <w:vMerge w:val="restart"/>
          </w:tcPr>
          <w:p w:rsidR="00A50A00" w:rsidRPr="00A50A00" w:rsidRDefault="00A50A00">
            <w:pPr>
              <w:ind w:left="0" w:firstLine="0"/>
            </w:pPr>
            <w:r w:rsidRPr="00A50A00">
              <w:t>Краткое описание возможной коррупционной схемы.</w:t>
            </w:r>
          </w:p>
        </w:tc>
        <w:tc>
          <w:tcPr>
            <w:tcW w:w="1751" w:type="dxa"/>
            <w:vMerge w:val="restart"/>
          </w:tcPr>
          <w:p w:rsidR="00A50A00" w:rsidRPr="00A50A00" w:rsidRDefault="00A50A00">
            <w:pPr>
              <w:ind w:left="0" w:firstLine="0"/>
            </w:pPr>
            <w:r w:rsidRPr="00A50A00">
              <w:t>Подразделение и должности, замещение которых связано с коррупционными рисками</w:t>
            </w:r>
          </w:p>
        </w:tc>
        <w:tc>
          <w:tcPr>
            <w:tcW w:w="1593" w:type="dxa"/>
            <w:vMerge w:val="restart"/>
          </w:tcPr>
          <w:p w:rsidR="00A50A00" w:rsidRPr="00A50A00" w:rsidRDefault="00A50A00">
            <w:pPr>
              <w:ind w:left="0" w:firstLine="0"/>
            </w:pPr>
            <w:r>
              <w:t xml:space="preserve">Вероятность </w:t>
            </w:r>
            <w:r w:rsidRPr="00A50A00">
              <w:t>риска, потенциальный вред</w:t>
            </w:r>
          </w:p>
        </w:tc>
        <w:tc>
          <w:tcPr>
            <w:tcW w:w="2625" w:type="dxa"/>
            <w:gridSpan w:val="2"/>
          </w:tcPr>
          <w:p w:rsidR="00A50A00" w:rsidRPr="00A50A00" w:rsidRDefault="00A50A00">
            <w:pPr>
              <w:ind w:left="0" w:firstLine="0"/>
            </w:pPr>
            <w:r w:rsidRPr="00A50A00">
              <w:t>Меры по минимизации рисков в критической точке</w:t>
            </w:r>
          </w:p>
        </w:tc>
      </w:tr>
      <w:tr w:rsidR="00A50A00" w:rsidTr="00A50A00">
        <w:trPr>
          <w:trHeight w:val="780"/>
        </w:trPr>
        <w:tc>
          <w:tcPr>
            <w:tcW w:w="533" w:type="dxa"/>
            <w:vMerge/>
          </w:tcPr>
          <w:p w:rsidR="00A50A00" w:rsidRDefault="00A50A00">
            <w:pPr>
              <w:ind w:left="0" w:firstLine="0"/>
            </w:pPr>
          </w:p>
        </w:tc>
        <w:tc>
          <w:tcPr>
            <w:tcW w:w="1459" w:type="dxa"/>
            <w:vMerge/>
          </w:tcPr>
          <w:p w:rsidR="00A50A00" w:rsidRDefault="00A50A00">
            <w:pPr>
              <w:ind w:left="0" w:firstLine="0"/>
            </w:pPr>
          </w:p>
        </w:tc>
        <w:tc>
          <w:tcPr>
            <w:tcW w:w="1600" w:type="dxa"/>
            <w:vMerge/>
          </w:tcPr>
          <w:p w:rsidR="00A50A00" w:rsidRDefault="00A50A00">
            <w:pPr>
              <w:ind w:left="0" w:firstLine="0"/>
            </w:pPr>
          </w:p>
        </w:tc>
        <w:tc>
          <w:tcPr>
            <w:tcW w:w="1751" w:type="dxa"/>
            <w:vMerge/>
          </w:tcPr>
          <w:p w:rsidR="00A50A00" w:rsidRDefault="00A50A00">
            <w:pPr>
              <w:ind w:left="0" w:firstLine="0"/>
            </w:pPr>
          </w:p>
        </w:tc>
        <w:tc>
          <w:tcPr>
            <w:tcW w:w="1593" w:type="dxa"/>
            <w:vMerge/>
          </w:tcPr>
          <w:p w:rsidR="00A50A00" w:rsidRDefault="00A50A00">
            <w:pPr>
              <w:ind w:left="0" w:firstLine="0"/>
            </w:pPr>
          </w:p>
        </w:tc>
        <w:tc>
          <w:tcPr>
            <w:tcW w:w="1272" w:type="dxa"/>
          </w:tcPr>
          <w:p w:rsidR="00A50A00" w:rsidRPr="00A50A00" w:rsidRDefault="00A50A00" w:rsidP="00A50A00">
            <w:pPr>
              <w:ind w:left="0"/>
              <w:rPr>
                <w:sz w:val="20"/>
                <w:szCs w:val="20"/>
              </w:rPr>
            </w:pPr>
            <w:r w:rsidRPr="00A50A00">
              <w:rPr>
                <w:sz w:val="20"/>
                <w:szCs w:val="20"/>
              </w:rPr>
              <w:t>реализуемые</w:t>
            </w:r>
          </w:p>
        </w:tc>
        <w:tc>
          <w:tcPr>
            <w:tcW w:w="1353" w:type="dxa"/>
          </w:tcPr>
          <w:p w:rsidR="00A50A00" w:rsidRPr="00A50A00" w:rsidRDefault="00A50A00" w:rsidP="00A50A00">
            <w:pPr>
              <w:ind w:left="0"/>
              <w:rPr>
                <w:sz w:val="20"/>
                <w:szCs w:val="20"/>
              </w:rPr>
            </w:pPr>
            <w:r w:rsidRPr="00A50A00">
              <w:rPr>
                <w:sz w:val="20"/>
                <w:szCs w:val="20"/>
              </w:rPr>
              <w:t>предлагаемые</w:t>
            </w:r>
          </w:p>
        </w:tc>
      </w:tr>
      <w:tr w:rsidR="00A50A00" w:rsidTr="00A50A00">
        <w:tc>
          <w:tcPr>
            <w:tcW w:w="533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459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600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751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593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272" w:type="dxa"/>
          </w:tcPr>
          <w:p w:rsidR="00A50A00" w:rsidRDefault="00A50A00">
            <w:pPr>
              <w:ind w:left="0" w:firstLine="0"/>
            </w:pPr>
          </w:p>
        </w:tc>
        <w:tc>
          <w:tcPr>
            <w:tcW w:w="1353" w:type="dxa"/>
          </w:tcPr>
          <w:p w:rsidR="00A50A00" w:rsidRDefault="00A50A00">
            <w:pPr>
              <w:ind w:left="0" w:firstLine="0"/>
            </w:pPr>
          </w:p>
        </w:tc>
      </w:tr>
    </w:tbl>
    <w:p w:rsidR="00FE1DB5" w:rsidRDefault="002D2122" w:rsidP="00A50A00">
      <w:pPr>
        <w:ind w:left="0" w:firstLine="0"/>
      </w:pPr>
    </w:p>
    <w:sectPr w:rsidR="00FE1DB5" w:rsidSect="007E0C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22" w:rsidRDefault="002D2122" w:rsidP="00A50A00">
      <w:pPr>
        <w:spacing w:after="0" w:line="240" w:lineRule="auto"/>
      </w:pPr>
      <w:r>
        <w:separator/>
      </w:r>
    </w:p>
  </w:endnote>
  <w:endnote w:type="continuationSeparator" w:id="0">
    <w:p w:rsidR="002D2122" w:rsidRDefault="002D2122" w:rsidP="00A5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63406"/>
      <w:docPartObj>
        <w:docPartGallery w:val="Page Numbers (Bottom of Page)"/>
        <w:docPartUnique/>
      </w:docPartObj>
    </w:sdtPr>
    <w:sdtContent>
      <w:p w:rsidR="00A50A00" w:rsidRDefault="007E0CC9">
        <w:pPr>
          <w:pStyle w:val="a5"/>
          <w:jc w:val="center"/>
        </w:pPr>
        <w:r>
          <w:fldChar w:fldCharType="begin"/>
        </w:r>
        <w:r w:rsidR="00A50A00">
          <w:instrText>PAGE   \* MERGEFORMAT</w:instrText>
        </w:r>
        <w:r>
          <w:fldChar w:fldCharType="separate"/>
        </w:r>
        <w:r w:rsidR="00D57102">
          <w:rPr>
            <w:noProof/>
          </w:rPr>
          <w:t>4</w:t>
        </w:r>
        <w:r>
          <w:fldChar w:fldCharType="end"/>
        </w:r>
      </w:p>
    </w:sdtContent>
  </w:sdt>
  <w:p w:rsidR="00A50A00" w:rsidRDefault="00A50A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22" w:rsidRDefault="002D2122" w:rsidP="00A50A00">
      <w:pPr>
        <w:spacing w:after="0" w:line="240" w:lineRule="auto"/>
      </w:pPr>
      <w:r>
        <w:separator/>
      </w:r>
    </w:p>
  </w:footnote>
  <w:footnote w:type="continuationSeparator" w:id="0">
    <w:p w:rsidR="002D2122" w:rsidRDefault="002D2122" w:rsidP="00A50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3C5C"/>
    <w:multiLevelType w:val="hybridMultilevel"/>
    <w:tmpl w:val="FFFFFFFF"/>
    <w:lvl w:ilvl="0" w:tplc="ABEC2596">
      <w:start w:val="1"/>
      <w:numFmt w:val="decimal"/>
      <w:pStyle w:val="1"/>
      <w:lvlText w:val="%1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0C0C6">
      <w:start w:val="1"/>
      <w:numFmt w:val="lowerLetter"/>
      <w:lvlText w:val="%2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86094">
      <w:start w:val="1"/>
      <w:numFmt w:val="lowerRoman"/>
      <w:lvlText w:val="%3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21620">
      <w:start w:val="1"/>
      <w:numFmt w:val="decimal"/>
      <w:lvlText w:val="%4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24F3A">
      <w:start w:val="1"/>
      <w:numFmt w:val="lowerLetter"/>
      <w:lvlText w:val="%5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66ACA">
      <w:start w:val="1"/>
      <w:numFmt w:val="lowerRoman"/>
      <w:lvlText w:val="%6"/>
      <w:lvlJc w:val="left"/>
      <w:pPr>
        <w:ind w:left="7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247290">
      <w:start w:val="1"/>
      <w:numFmt w:val="decimal"/>
      <w:lvlText w:val="%7"/>
      <w:lvlJc w:val="left"/>
      <w:pPr>
        <w:ind w:left="7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27180">
      <w:start w:val="1"/>
      <w:numFmt w:val="lowerLetter"/>
      <w:lvlText w:val="%8"/>
      <w:lvlJc w:val="left"/>
      <w:pPr>
        <w:ind w:left="8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A69A2">
      <w:start w:val="1"/>
      <w:numFmt w:val="lowerRoman"/>
      <w:lvlText w:val="%9"/>
      <w:lvlJc w:val="left"/>
      <w:pPr>
        <w:ind w:left="9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09D"/>
    <w:rsid w:val="00010447"/>
    <w:rsid w:val="002D2122"/>
    <w:rsid w:val="003370B4"/>
    <w:rsid w:val="003E29B6"/>
    <w:rsid w:val="00574D10"/>
    <w:rsid w:val="006F609D"/>
    <w:rsid w:val="007E0CC9"/>
    <w:rsid w:val="00A0076A"/>
    <w:rsid w:val="00A50A00"/>
    <w:rsid w:val="00B4583C"/>
    <w:rsid w:val="00C64E20"/>
    <w:rsid w:val="00D5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0"/>
    <w:pPr>
      <w:spacing w:after="12" w:line="388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C64E20"/>
    <w:pPr>
      <w:keepNext/>
      <w:keepLines/>
      <w:numPr>
        <w:numId w:val="1"/>
      </w:numPr>
      <w:spacing w:after="114" w:line="259" w:lineRule="auto"/>
      <w:ind w:left="10" w:right="14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E2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A00"/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5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A00"/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table" w:styleId="a7">
    <w:name w:val="Table Grid"/>
    <w:basedOn w:val="a1"/>
    <w:uiPriority w:val="59"/>
    <w:rsid w:val="00A5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D10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20"/>
    <w:pPr>
      <w:spacing w:after="12" w:line="388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C64E20"/>
    <w:pPr>
      <w:keepNext/>
      <w:keepLines/>
      <w:numPr>
        <w:numId w:val="1"/>
      </w:numPr>
      <w:spacing w:after="114" w:line="259" w:lineRule="auto"/>
      <w:ind w:left="10" w:right="14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E2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A5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A00"/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A50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A00"/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table" w:styleId="a7">
    <w:name w:val="Table Grid"/>
    <w:basedOn w:val="a1"/>
    <w:uiPriority w:val="59"/>
    <w:rsid w:val="00A5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D10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Общие положения.</vt:lpstr>
    </vt:vector>
  </TitlesOfParts>
  <Company>diakov.net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2023-01-16T09:00:00Z</cp:lastPrinted>
  <dcterms:created xsi:type="dcterms:W3CDTF">2023-01-19T13:23:00Z</dcterms:created>
  <dcterms:modified xsi:type="dcterms:W3CDTF">2023-01-19T13:23:00Z</dcterms:modified>
</cp:coreProperties>
</file>